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C8AF9" w14:textId="48D8A68A" w:rsidR="00917386" w:rsidRDefault="00917386" w:rsidP="00917386">
      <w:pPr>
        <w:jc w:val="center"/>
        <w:rPr>
          <w:b/>
          <w:bCs/>
          <w:i/>
          <w:iCs/>
          <w:sz w:val="28"/>
          <w:szCs w:val="28"/>
        </w:rPr>
      </w:pPr>
      <w:r w:rsidRPr="00917386">
        <w:rPr>
          <w:b/>
          <w:bCs/>
          <w:i/>
          <w:iCs/>
          <w:sz w:val="28"/>
          <w:szCs w:val="28"/>
        </w:rPr>
        <w:t>PREGUNTAS REALIZADAS POR LOS INTERESADOS Y CONTESTADAS POR EL PERSONAL TÉCNICO COMPETENTE</w:t>
      </w:r>
    </w:p>
    <w:p w14:paraId="165FBFAA" w14:textId="77777777" w:rsidR="005E1109" w:rsidRPr="00917386" w:rsidRDefault="005E1109" w:rsidP="00917386">
      <w:pPr>
        <w:jc w:val="center"/>
        <w:rPr>
          <w:b/>
          <w:bCs/>
          <w:i/>
          <w:iCs/>
          <w:sz w:val="28"/>
          <w:szCs w:val="28"/>
        </w:rPr>
      </w:pPr>
    </w:p>
    <w:p w14:paraId="7E9D0562" w14:textId="606D5689" w:rsidR="00E57FAF" w:rsidRPr="00917386" w:rsidRDefault="00386F09" w:rsidP="00917386">
      <w:pPr>
        <w:pStyle w:val="Prrafodelista"/>
        <w:numPr>
          <w:ilvl w:val="0"/>
          <w:numId w:val="3"/>
        </w:numPr>
        <w:rPr>
          <w:b/>
          <w:bCs/>
          <w:i/>
          <w:iCs/>
        </w:rPr>
      </w:pPr>
      <w:r w:rsidRPr="00917386">
        <w:rPr>
          <w:b/>
          <w:bCs/>
          <w:i/>
          <w:iCs/>
        </w:rPr>
        <w:t>¿Las actuaciones objeto de la convocatoria serán exclusivamente inversiones en instalaciones de sistemas de refrigeración?</w:t>
      </w:r>
    </w:p>
    <w:p w14:paraId="25DF4D9C" w14:textId="77777777" w:rsidR="0025570F" w:rsidRDefault="00386F09" w:rsidP="00386F09">
      <w:pPr>
        <w:jc w:val="both"/>
      </w:pPr>
      <w:r w:rsidRPr="00386F09">
        <w:t xml:space="preserve">La tipología de estas acciones cofinanciadas por el Programa </w:t>
      </w:r>
      <w:r>
        <w:t>FEDER</w:t>
      </w:r>
      <w:r w:rsidRPr="00386F09">
        <w:t xml:space="preserve"> Castilla-La Mancha 2021-2027 se corresponde con inversiones en instalaciones de energías renovables en edificios e infraestructuras públicas. </w:t>
      </w:r>
    </w:p>
    <w:p w14:paraId="68E46A53" w14:textId="6D77BECA" w:rsidR="00386F09" w:rsidRPr="00386F09" w:rsidRDefault="00386F09" w:rsidP="00386F09">
      <w:pPr>
        <w:jc w:val="both"/>
      </w:pPr>
      <w:r w:rsidRPr="00386F09">
        <w:t>De esta manera, las actuaciones apoyadas por esta convocatoria serán inversiones en instalaciones de sistemas de refrigeración mediante energías renovables (equipos aerotérmicos de bombas de frío/calor) que se podrán complementar, en su caso, con instalaciones fotovoltaicas para autoconsumo, y que deberán cumplir con las especificaciones técnicas recogidas en el apartado 2 de la base segunda de la Orden de bases de esta convocatoria, con el objetivo de mejorar las condiciones de confort térmico y bienestar de los usuarios de los centros educativos.</w:t>
      </w:r>
      <w:r>
        <w:t xml:space="preserve"> </w:t>
      </w:r>
    </w:p>
    <w:p w14:paraId="1DCFD762" w14:textId="77777777" w:rsidR="00386F09" w:rsidRPr="00386F09" w:rsidRDefault="00386F09" w:rsidP="00386F09">
      <w:pPr>
        <w:jc w:val="both"/>
      </w:pPr>
      <w:r w:rsidRPr="00386F09">
        <w:t>La aerotermia es un sistema de climatización de alta eficiencia energética y bajo impacto ambiental. Considerando sus beneficios, se valora que el sistema se proyecte como sistema complementario de calefacción:</w:t>
      </w:r>
    </w:p>
    <w:p w14:paraId="49868D4A" w14:textId="77777777" w:rsidR="00386F09" w:rsidRPr="00386F09" w:rsidRDefault="00386F09" w:rsidP="00386F09">
      <w:pPr>
        <w:jc w:val="both"/>
      </w:pPr>
      <w:r w:rsidRPr="00386F09">
        <w:t>Sistema refrigeración: 0 puntos</w:t>
      </w:r>
    </w:p>
    <w:p w14:paraId="49E71CAF" w14:textId="77777777" w:rsidR="00386F09" w:rsidRDefault="00386F09" w:rsidP="00386F09">
      <w:pPr>
        <w:jc w:val="both"/>
      </w:pPr>
      <w:r w:rsidRPr="00386F09">
        <w:t>Sistema mixto refrigeración y calefacción: 5 puntos</w:t>
      </w:r>
    </w:p>
    <w:p w14:paraId="42444662" w14:textId="1ECF1DD0" w:rsidR="00386F09" w:rsidRPr="00917386" w:rsidRDefault="00386F09" w:rsidP="00917386">
      <w:pPr>
        <w:pStyle w:val="Prrafodelista"/>
        <w:numPr>
          <w:ilvl w:val="0"/>
          <w:numId w:val="3"/>
        </w:numPr>
        <w:jc w:val="both"/>
        <w:rPr>
          <w:b/>
          <w:bCs/>
          <w:i/>
          <w:iCs/>
        </w:rPr>
      </w:pPr>
      <w:r w:rsidRPr="00917386">
        <w:rPr>
          <w:b/>
          <w:bCs/>
          <w:i/>
          <w:iCs/>
        </w:rPr>
        <w:t xml:space="preserve">Al ser necesario un proyecto básico y de ejecución y no contemplarse este concepto en la relación de costes directos subvencionables, ¿se entiende el coste de elaboración </w:t>
      </w:r>
      <w:r w:rsidR="0025570F" w:rsidRPr="00917386">
        <w:rPr>
          <w:b/>
          <w:bCs/>
          <w:i/>
          <w:iCs/>
        </w:rPr>
        <w:t>de este</w:t>
      </w:r>
      <w:r w:rsidRPr="00917386">
        <w:rPr>
          <w:b/>
          <w:bCs/>
          <w:i/>
          <w:iCs/>
        </w:rPr>
        <w:t xml:space="preserve"> por técnico competente como costes indirectos subvencionables?</w:t>
      </w:r>
    </w:p>
    <w:p w14:paraId="504CEB27" w14:textId="77777777" w:rsidR="00386F09" w:rsidRDefault="00386F09" w:rsidP="00386F09">
      <w:pPr>
        <w:jc w:val="both"/>
      </w:pPr>
      <w:r w:rsidRPr="00386F09">
        <w:t>El coste del proyecto básico y de ejecución necesario para la operación se trata de un COSTE DIRECTO.</w:t>
      </w:r>
    </w:p>
    <w:p w14:paraId="31E610EF" w14:textId="4A976CFB" w:rsidR="00386F09" w:rsidRPr="00917386" w:rsidRDefault="00386F09" w:rsidP="00917386">
      <w:pPr>
        <w:pStyle w:val="Prrafodelista"/>
        <w:numPr>
          <w:ilvl w:val="0"/>
          <w:numId w:val="3"/>
        </w:numPr>
        <w:jc w:val="both"/>
        <w:rPr>
          <w:b/>
          <w:bCs/>
          <w:i/>
          <w:iCs/>
        </w:rPr>
      </w:pPr>
      <w:r w:rsidRPr="00917386">
        <w:rPr>
          <w:b/>
          <w:bCs/>
          <w:i/>
          <w:iCs/>
        </w:rPr>
        <w:t>Al tratarse de fondos europeos, ¿el importe en concepto de IVA es subvencionable?</w:t>
      </w:r>
    </w:p>
    <w:p w14:paraId="62246B87" w14:textId="77777777" w:rsidR="00386F09" w:rsidRDefault="00386F09" w:rsidP="00386F09">
      <w:pPr>
        <w:jc w:val="both"/>
      </w:pPr>
      <w:r w:rsidRPr="00386F09">
        <w:t>El importe en concepto de IVA ES SUBVENCIONABLE.</w:t>
      </w:r>
    </w:p>
    <w:p w14:paraId="2A3DF78E" w14:textId="46CFCE42" w:rsidR="00386F09" w:rsidRPr="00917386" w:rsidRDefault="00386F09" w:rsidP="00917386">
      <w:pPr>
        <w:pStyle w:val="Prrafodelista"/>
        <w:numPr>
          <w:ilvl w:val="0"/>
          <w:numId w:val="3"/>
        </w:numPr>
        <w:jc w:val="both"/>
        <w:rPr>
          <w:b/>
          <w:bCs/>
          <w:i/>
          <w:iCs/>
        </w:rPr>
      </w:pPr>
      <w:r w:rsidRPr="00917386">
        <w:rPr>
          <w:b/>
          <w:bCs/>
          <w:i/>
          <w:iCs/>
        </w:rPr>
        <w:t>Como las inversiones no son subvencionables al 100%, ¿estas ayudas serán compatibles con otras que puedan subvencionar gastos de inversión como sería el caso del Plan de obras de Diputación?</w:t>
      </w:r>
    </w:p>
    <w:p w14:paraId="7AC34892" w14:textId="77777777" w:rsidR="0025570F" w:rsidRDefault="00386F09" w:rsidP="00386F09">
      <w:pPr>
        <w:jc w:val="both"/>
      </w:pPr>
      <w:r w:rsidRPr="00386F09">
        <w:t>La Resolución de 15/10/2024, por la que se aprueba la convocatoria de expresiones de interés, relativas al plan de acción frente al cambio climático en los centros públicos de segundo ciclo de Educación Infantil y Educación Primaria, establece en su resuelvo decimocuarto, apartado d), como obligación de las entidades beneficiarias: “Garantizar la no existencia de doble financiación, evitando la concurrencia de dos fuentes de financiación europeas. Se deberá comunicar al órgano competente para resolver la obtención de cualesquiera ayudas públicas para la misma finalidad, procedentes de cualquier entidad pública o privada, nacional o internacional, en el plazo máximo de diez días a contar desde el siguiente al de notificación de la concesión de dichas ayudas; así como cualquier alteración de las condiciones tenidas en cuenta para la selección de la operación.”</w:t>
      </w:r>
    </w:p>
    <w:p w14:paraId="264ED070" w14:textId="30C41575" w:rsidR="00386F09" w:rsidRDefault="00386F09" w:rsidP="00386F09">
      <w:pPr>
        <w:jc w:val="both"/>
        <w:rPr>
          <w:u w:val="single"/>
        </w:rPr>
      </w:pPr>
      <w:r w:rsidRPr="00386F09">
        <w:t xml:space="preserve">De esta redacción debe interpretarse que </w:t>
      </w:r>
      <w:r w:rsidRPr="008100F5">
        <w:rPr>
          <w:u w:val="single"/>
        </w:rPr>
        <w:t>no se permite la doble financiación a través de fuentes de financiación europea, pero no así del resto de ayudas públicas, respecto de las cuales la entidad beneficiaria debe comunicar su recepción.</w:t>
      </w:r>
    </w:p>
    <w:p w14:paraId="6384AE78" w14:textId="77777777" w:rsidR="005E1109" w:rsidRPr="008100F5" w:rsidRDefault="005E1109" w:rsidP="00386F09">
      <w:pPr>
        <w:jc w:val="both"/>
        <w:rPr>
          <w:u w:val="single"/>
        </w:rPr>
      </w:pPr>
    </w:p>
    <w:p w14:paraId="61518E6F" w14:textId="77777777" w:rsidR="0025570F" w:rsidRDefault="00386F09" w:rsidP="00386F09">
      <w:pPr>
        <w:jc w:val="both"/>
      </w:pPr>
      <w:r w:rsidRPr="00386F09">
        <w:lastRenderedPageBreak/>
        <w:t xml:space="preserve">El Reglamento (UE, </w:t>
      </w:r>
      <w:r w:rsidR="008100F5" w:rsidRPr="00386F09">
        <w:t>EURATOM</w:t>
      </w:r>
      <w:r w:rsidRPr="00386F09">
        <w:t xml:space="preserve">) 2024/2509 del Parlamento Europeo y del Consejo, de 23 de septiembre de 2024, sobre las normas financieras aplicables al presupuesto general de la Unión, que es aplicable a partir del 30 de septiembre de 2024, en su artículo 191 regula principios generales aplicables a las subvenciones, indicando en el apartado d) que las subvenciones estarán sujetas al principio de concesión no acumulativa y prohibición de la doble financiación. </w:t>
      </w:r>
    </w:p>
    <w:p w14:paraId="2CAFC079" w14:textId="02B127D3" w:rsidR="0025570F" w:rsidRDefault="00386F09" w:rsidP="00386F09">
      <w:pPr>
        <w:jc w:val="both"/>
      </w:pPr>
      <w:r w:rsidRPr="00386F09">
        <w:t xml:space="preserve">En cuanto a la cofinanciación, se regula en el artículo 193, indicando en su apartado 1 que “Las subvenciones supondrán una cofinanciación. En consecuencia, los recursos necesarios para la ejecución de la acción o el programa de trabajo no serán aportados íntegramente por la subvención. </w:t>
      </w:r>
    </w:p>
    <w:p w14:paraId="389F27F6" w14:textId="6D77EC43" w:rsidR="00386F09" w:rsidRPr="00386F09" w:rsidRDefault="00386F09" w:rsidP="00386F09">
      <w:pPr>
        <w:jc w:val="both"/>
        <w:rPr>
          <w:b/>
          <w:bCs/>
        </w:rPr>
      </w:pPr>
      <w:r w:rsidRPr="008100F5">
        <w:rPr>
          <w:u w:val="single"/>
        </w:rPr>
        <w:t>La cofinanciación podrá revestir la forma de recursos propios del beneficiario, ingresos generados por la acción o el programa de trabajo o contribuciones financieras o en especie de terceros</w:t>
      </w:r>
      <w:r w:rsidRPr="00386F09">
        <w:t xml:space="preserve">.” Este artículo 193.1 sí que permite, con carácter general, que </w:t>
      </w:r>
      <w:r w:rsidRPr="008100F5">
        <w:rPr>
          <w:u w:val="single"/>
        </w:rPr>
        <w:t>se puedan compatibilizar las ayudas de FEDER con otras fuentes de financiación externas, siempre que no se financien dos veces los mismos gastos</w:t>
      </w:r>
      <w:r w:rsidRPr="00386F09">
        <w:rPr>
          <w:b/>
          <w:bCs/>
        </w:rPr>
        <w:t>.</w:t>
      </w:r>
    </w:p>
    <w:p w14:paraId="4CCCE8F3" w14:textId="77777777" w:rsidR="00386F09" w:rsidRPr="00386F09" w:rsidRDefault="00386F09" w:rsidP="00386F09">
      <w:pPr>
        <w:jc w:val="both"/>
      </w:pPr>
      <w:r w:rsidRPr="00386F09">
        <w:t>Esto es que las subvenciones en ningún caso podrán ser de tal cuantía que, aisladamente o en concurrencia con otras subvenciones, ayudas, ingresos o recursos, supere el coste de la actividad subvencionada.</w:t>
      </w:r>
    </w:p>
    <w:p w14:paraId="6C119149" w14:textId="77777777" w:rsidR="00386F09" w:rsidRPr="00386F09" w:rsidRDefault="00386F09" w:rsidP="00386F09">
      <w:pPr>
        <w:jc w:val="both"/>
      </w:pPr>
      <w:r w:rsidRPr="00386F09">
        <w:t xml:space="preserve">Por tanto, en este caso, la ayuda de la Diputación más la ayuda de la Unión Europea no puede superar el coste de la inversión. Por lo que, si el ayuntamiento recibe fondos de la Diputación, éstos pueden emplearse en el proyecto, pero si la suma de todas las ayudas recibidas supera el coste de la inversión, se ha de reintegrar el exceso. </w:t>
      </w:r>
    </w:p>
    <w:p w14:paraId="78FF83A5" w14:textId="77777777" w:rsidR="00386F09" w:rsidRPr="00386F09" w:rsidRDefault="00386F09" w:rsidP="00386F09">
      <w:pPr>
        <w:jc w:val="both"/>
      </w:pPr>
      <w:r w:rsidRPr="00386F09">
        <w:t>Otra cuestión es que la Diputación sea el organismo que se encargue de la contratación de los proyectos de los ayuntamientos, en este caso la Diputación es quien contrata, pone los fondos y por tanto es el destinatario de la ayuda de la UE.</w:t>
      </w:r>
    </w:p>
    <w:p w14:paraId="7D6A40F5" w14:textId="77777777" w:rsidR="00386F09" w:rsidRPr="00386F09" w:rsidRDefault="00386F09" w:rsidP="00386F09">
      <w:pPr>
        <w:jc w:val="both"/>
      </w:pPr>
      <w:r w:rsidRPr="00386F09">
        <w:t>En este sentido, se ha de recordar los establecido en el apartado segundo de la Convocatoria que nos ocupa:</w:t>
      </w:r>
    </w:p>
    <w:p w14:paraId="704AE61F" w14:textId="77777777" w:rsidR="00386F09" w:rsidRPr="00386F09" w:rsidRDefault="00386F09" w:rsidP="00386F09">
      <w:pPr>
        <w:jc w:val="both"/>
        <w:rPr>
          <w:i/>
          <w:iCs/>
        </w:rPr>
      </w:pPr>
      <w:r w:rsidRPr="00386F09">
        <w:rPr>
          <w:i/>
          <w:iCs/>
        </w:rPr>
        <w:t>“2. Cuando las entidades locales municipales concurran al proceso de selección y ejecución de proyectos dentro del Programa Feder mediante fórmulas, debidamente acreditadas, de colaboración técnica o financiera con entidades locales de ámbito territorial superior como las diputaciones provinciales, éstas últimas serán las que ostenten la condición de beneficiarias a los efectos de la liquidación de las ayudas.”</w:t>
      </w:r>
    </w:p>
    <w:p w14:paraId="61F801A0" w14:textId="1CA01D38" w:rsidR="003F4D21" w:rsidRPr="00917386" w:rsidRDefault="003F4D21" w:rsidP="00917386">
      <w:pPr>
        <w:pStyle w:val="Prrafodelista"/>
        <w:numPr>
          <w:ilvl w:val="0"/>
          <w:numId w:val="3"/>
        </w:numPr>
        <w:jc w:val="both"/>
        <w:rPr>
          <w:b/>
          <w:bCs/>
          <w:i/>
          <w:iCs/>
        </w:rPr>
      </w:pPr>
      <w:r w:rsidRPr="00917386">
        <w:rPr>
          <w:b/>
          <w:bCs/>
          <w:i/>
          <w:iCs/>
        </w:rPr>
        <w:t>Se debe disponer de Boletín de instalación eléctrica y de Boletín de Instalación Térmica de los edificios objeto de la actuación, en muchos casos son edificios muy antiguos y esta documentación no está disponible en el Ayuntamiento. Como se podría solventar este trámite, con una declaración responsable, con una solicitud a Industria mediante la cual nos puedan ellos aportar algún tipo de dato al respecto…</w:t>
      </w:r>
    </w:p>
    <w:p w14:paraId="02634234" w14:textId="77777777" w:rsidR="003F4D21" w:rsidRPr="003F4D21" w:rsidRDefault="003F4D21" w:rsidP="003F4D21">
      <w:pPr>
        <w:jc w:val="both"/>
      </w:pPr>
      <w:r w:rsidRPr="003F4D21">
        <w:t>No. Una declaración responsable en ningún caso suple un boletín de registro de la instalación.</w:t>
      </w:r>
    </w:p>
    <w:p w14:paraId="34EF67A9" w14:textId="77777777" w:rsidR="003F4D21" w:rsidRPr="003F4D21" w:rsidRDefault="003F4D21" w:rsidP="003F4D21">
      <w:pPr>
        <w:jc w:val="both"/>
      </w:pPr>
      <w:r w:rsidRPr="003F4D21">
        <w:t>Si no se dispone de los mismos, deberá tenerse en cuenta en la repercusión que pueda suponer en el diseño de la instalación eléctrica o térmica y en la valoración de los criterios de priorización 1.2 y 1.3</w:t>
      </w:r>
    </w:p>
    <w:p w14:paraId="5F687CA9" w14:textId="6BF73ECF" w:rsidR="003F4D21" w:rsidRPr="00917386" w:rsidRDefault="003F4D21" w:rsidP="00917386">
      <w:pPr>
        <w:pStyle w:val="Prrafodelista"/>
        <w:numPr>
          <w:ilvl w:val="0"/>
          <w:numId w:val="3"/>
        </w:numPr>
        <w:jc w:val="both"/>
        <w:rPr>
          <w:b/>
          <w:bCs/>
          <w:i/>
          <w:iCs/>
        </w:rPr>
      </w:pPr>
      <w:r w:rsidRPr="00917386">
        <w:rPr>
          <w:b/>
          <w:bCs/>
          <w:i/>
          <w:iCs/>
        </w:rPr>
        <w:t>A su vez se piden las OCAS correspondientes en cuanto a IEBT y Térmicas, encontrándonos en la misma situación, pero entendemos que este documento si es viable solventar con una declaración responsable en la cual se indique que tras la finalización de los trabajos se procederán a pasar las OCAS pertinentes.</w:t>
      </w:r>
    </w:p>
    <w:p w14:paraId="46834E10" w14:textId="77777777" w:rsidR="003F4D21" w:rsidRPr="003F4D21" w:rsidRDefault="003F4D21" w:rsidP="003F4D21">
      <w:pPr>
        <w:jc w:val="both"/>
      </w:pPr>
      <w:r w:rsidRPr="003F4D21">
        <w:t xml:space="preserve">Con las inspecciones de las OCAs ocurre igual que con los registros y boletines de las instalaciones, se considera que una declaración responsable no puede sustituir una inspección realizada por una OCA. En este sentido, en el caso de no estar disponibles, se deberá tener en consideración en lo relativo a su repercusión en el diseño de las instalaciones afectadas. </w:t>
      </w:r>
    </w:p>
    <w:p w14:paraId="3656A084" w14:textId="278BACB4" w:rsidR="003F4D21" w:rsidRPr="00917386" w:rsidRDefault="00917386" w:rsidP="00917386">
      <w:pPr>
        <w:pStyle w:val="Prrafodelista"/>
        <w:numPr>
          <w:ilvl w:val="0"/>
          <w:numId w:val="3"/>
        </w:numPr>
        <w:jc w:val="both"/>
        <w:rPr>
          <w:b/>
          <w:bCs/>
          <w:i/>
          <w:iCs/>
        </w:rPr>
      </w:pPr>
      <w:r w:rsidRPr="00917386">
        <w:rPr>
          <w:b/>
          <w:bCs/>
          <w:i/>
          <w:iCs/>
        </w:rPr>
        <w:lastRenderedPageBreak/>
        <w:t>En relación con</w:t>
      </w:r>
      <w:r w:rsidR="003F4D21" w:rsidRPr="00917386">
        <w:rPr>
          <w:b/>
          <w:bCs/>
          <w:i/>
          <w:iCs/>
        </w:rPr>
        <w:t xml:space="preserve"> los costes de inversión, al ser un coste unitario por aula nos encontramos con aulas de 20 m2 y con aulas de 60 m</w:t>
      </w:r>
      <w:r w:rsidRPr="00917386">
        <w:rPr>
          <w:b/>
          <w:bCs/>
          <w:i/>
          <w:iCs/>
        </w:rPr>
        <w:t>2.</w:t>
      </w:r>
      <w:r w:rsidR="003F4D21" w:rsidRPr="00917386">
        <w:rPr>
          <w:b/>
          <w:bCs/>
          <w:i/>
          <w:iCs/>
        </w:rPr>
        <w:t xml:space="preserve"> con este diferencial de superficie se podría realizar un reparto diferente…</w:t>
      </w:r>
    </w:p>
    <w:p w14:paraId="3458C697" w14:textId="77777777" w:rsidR="003F4D21" w:rsidRPr="003F4D21" w:rsidRDefault="003F4D21" w:rsidP="003F4D21">
      <w:pPr>
        <w:jc w:val="both"/>
      </w:pPr>
      <w:r w:rsidRPr="003F4D21">
        <w:t>Tal y como se detalla en las BBRR, así como en la convocatoria, la asignación financiera o gastos subvencionables dependen de la tipología de los espacios a climatizar, estableciéndose los siguientes límites:</w:t>
      </w:r>
    </w:p>
    <w:p w14:paraId="4CC75224" w14:textId="77777777" w:rsidR="003F4D21" w:rsidRPr="003F4D21" w:rsidRDefault="003F4D21" w:rsidP="003F4D21">
      <w:pPr>
        <w:numPr>
          <w:ilvl w:val="0"/>
          <w:numId w:val="2"/>
        </w:numPr>
        <w:jc w:val="both"/>
      </w:pPr>
      <w:r w:rsidRPr="003F4D21">
        <w:t>Aula de grupo: 3.500 €/aula</w:t>
      </w:r>
    </w:p>
    <w:p w14:paraId="15A70D44" w14:textId="77777777" w:rsidR="003F4D21" w:rsidRPr="003F4D21" w:rsidRDefault="003F4D21" w:rsidP="003F4D21">
      <w:pPr>
        <w:numPr>
          <w:ilvl w:val="0"/>
          <w:numId w:val="2"/>
        </w:numPr>
        <w:jc w:val="both"/>
      </w:pPr>
      <w:r w:rsidRPr="003F4D21">
        <w:t>Espacios administrativos:</w:t>
      </w:r>
    </w:p>
    <w:p w14:paraId="44B4A98B" w14:textId="77777777" w:rsidR="003F4D21" w:rsidRPr="003F4D21" w:rsidRDefault="003F4D21" w:rsidP="003F4D21">
      <w:pPr>
        <w:numPr>
          <w:ilvl w:val="1"/>
          <w:numId w:val="2"/>
        </w:numPr>
        <w:jc w:val="both"/>
      </w:pPr>
      <w:r w:rsidRPr="003F4D21">
        <w:t>Despacho de dirección, despacho de la jefatura de estudios, secretaría: 1.800 €/despacho</w:t>
      </w:r>
    </w:p>
    <w:p w14:paraId="61D90A0B" w14:textId="77777777" w:rsidR="003F4D21" w:rsidRPr="003F4D21" w:rsidRDefault="003F4D21" w:rsidP="003F4D21">
      <w:pPr>
        <w:numPr>
          <w:ilvl w:val="1"/>
          <w:numId w:val="2"/>
        </w:numPr>
        <w:jc w:val="both"/>
      </w:pPr>
      <w:r w:rsidRPr="003F4D21">
        <w:t>Sala de profesores: 3.000 €</w:t>
      </w:r>
    </w:p>
    <w:p w14:paraId="5E632BF3" w14:textId="77777777" w:rsidR="003F4D21" w:rsidRPr="003F4D21" w:rsidRDefault="003F4D21" w:rsidP="003F4D21">
      <w:pPr>
        <w:numPr>
          <w:ilvl w:val="0"/>
          <w:numId w:val="2"/>
        </w:numPr>
        <w:jc w:val="both"/>
      </w:pPr>
      <w:r w:rsidRPr="003F4D21">
        <w:t>Comedor: 90 €/m2 hasta un máximo de 18.000 €</w:t>
      </w:r>
    </w:p>
    <w:p w14:paraId="1D99EEF5" w14:textId="77777777" w:rsidR="003F4D21" w:rsidRPr="003F4D21" w:rsidRDefault="003F4D21" w:rsidP="003F4D21">
      <w:pPr>
        <w:numPr>
          <w:ilvl w:val="0"/>
          <w:numId w:val="2"/>
        </w:numPr>
        <w:jc w:val="both"/>
      </w:pPr>
      <w:r w:rsidRPr="003F4D21">
        <w:t>Opcional Sala de Usos Múltiples: 90 €/m2 hasta un máximo de 18.000 €</w:t>
      </w:r>
    </w:p>
    <w:p w14:paraId="3570F323" w14:textId="77777777" w:rsidR="003F4D21" w:rsidRPr="003F4D21" w:rsidRDefault="003F4D21" w:rsidP="003F4D21">
      <w:pPr>
        <w:jc w:val="both"/>
      </w:pPr>
      <w:r w:rsidRPr="003F4D21">
        <w:t>El concepto de aula de grupo se refiere a unidad escolar con un máximo de 22 alumnos en infantil y 25 en primaria. No se concibe a efectos de otras aulas con usos complementarios.</w:t>
      </w:r>
    </w:p>
    <w:p w14:paraId="649590F5" w14:textId="4BB7804A" w:rsidR="00EA016E" w:rsidRPr="00EA016E" w:rsidRDefault="00EA016E" w:rsidP="00EA016E">
      <w:pPr>
        <w:pStyle w:val="Prrafodelista"/>
        <w:numPr>
          <w:ilvl w:val="0"/>
          <w:numId w:val="3"/>
        </w:numPr>
        <w:jc w:val="both"/>
        <w:rPr>
          <w:b/>
          <w:bCs/>
          <w:i/>
          <w:iCs/>
        </w:rPr>
      </w:pPr>
      <w:r w:rsidRPr="00EA016E">
        <w:rPr>
          <w:b/>
          <w:bCs/>
          <w:i/>
          <w:iCs/>
        </w:rPr>
        <w:t>Junto a la solicitud se debe aportar:   </w:t>
      </w:r>
    </w:p>
    <w:p w14:paraId="2DEA7D85" w14:textId="77777777" w:rsidR="00EA016E" w:rsidRPr="00EA016E" w:rsidRDefault="00EA016E" w:rsidP="00EA016E">
      <w:pPr>
        <w:pStyle w:val="Prrafodelista"/>
        <w:jc w:val="both"/>
        <w:rPr>
          <w:b/>
          <w:bCs/>
          <w:i/>
          <w:iCs/>
        </w:rPr>
      </w:pPr>
      <w:r w:rsidRPr="00EA016E">
        <w:rPr>
          <w:b/>
          <w:bCs/>
          <w:i/>
          <w:iCs/>
        </w:rPr>
        <w:t>c) Certificados iniciales de los registros en la Consejería competente en materia de Industria, de las instalaciones eléctricas y de climatización. Asimismo, se deberán aportar los informes favorables de las inspecciones periódicas correspondientes.</w:t>
      </w:r>
    </w:p>
    <w:p w14:paraId="3F4D7D05" w14:textId="77777777" w:rsidR="00EA016E" w:rsidRPr="00EA016E" w:rsidRDefault="00EA016E" w:rsidP="00EA016E">
      <w:pPr>
        <w:pStyle w:val="Prrafodelista"/>
        <w:jc w:val="both"/>
        <w:rPr>
          <w:b/>
          <w:bCs/>
          <w:i/>
          <w:iCs/>
        </w:rPr>
      </w:pPr>
      <w:r w:rsidRPr="00EA016E">
        <w:rPr>
          <w:b/>
          <w:bCs/>
          <w:i/>
          <w:iCs/>
        </w:rPr>
        <w:t>Entendemos que dichos certificados son de las instalaciones actuales (iniciales), pero nos gustaría asegurarnos de ello o aclarar qué documentación se debe aportar.</w:t>
      </w:r>
    </w:p>
    <w:p w14:paraId="72DFC02B" w14:textId="6A53AEC5" w:rsidR="00EA016E" w:rsidRPr="00EA016E" w:rsidRDefault="00EA016E" w:rsidP="00EA016E">
      <w:pPr>
        <w:jc w:val="both"/>
      </w:pPr>
      <w:r>
        <w:t>E</w:t>
      </w:r>
      <w:r w:rsidRPr="00EA016E">
        <w:t xml:space="preserve">fectivamente se deberán presentar los registros de las instalaciones de clima y electricidad iniciales, con el objeto de poder registrar las intervenciones planteadas en el proyecto sin ningún tipo de inconveniente en la Delegación Provincial de Desarrollo Sostenible. </w:t>
      </w:r>
    </w:p>
    <w:p w14:paraId="767E9CAD" w14:textId="77777777" w:rsidR="00EA016E" w:rsidRPr="00EA016E" w:rsidRDefault="00EA016E" w:rsidP="00EA016E">
      <w:pPr>
        <w:jc w:val="both"/>
      </w:pPr>
      <w:r w:rsidRPr="00EA016E">
        <w:t>De hecho, esto se tiene en consideración en la valoración de los criterios y subcriterios de priorización específicos 1.2 y 1.3.</w:t>
      </w:r>
    </w:p>
    <w:p w14:paraId="51104AE3" w14:textId="0853DCCE" w:rsidR="000624FF" w:rsidRPr="000624FF" w:rsidRDefault="000624FF" w:rsidP="000624FF">
      <w:pPr>
        <w:pStyle w:val="Prrafodelista"/>
        <w:numPr>
          <w:ilvl w:val="0"/>
          <w:numId w:val="3"/>
        </w:numPr>
        <w:jc w:val="both"/>
        <w:rPr>
          <w:b/>
          <w:bCs/>
        </w:rPr>
      </w:pPr>
      <w:r>
        <w:rPr>
          <w:b/>
          <w:bCs/>
        </w:rPr>
        <w:t>Junto a la solicitud, uno de los documentos que se debe aportar es “</w:t>
      </w:r>
      <w:r w:rsidRPr="000624FF">
        <w:rPr>
          <w:b/>
          <w:bCs/>
        </w:rPr>
        <w:t>Certificados iniciales de los registros en la Consejería competente en materia de Industria, de las instalaciones eléctrica y de climatización. Asimismo, se deberán aportar los informes favorables de las inspecciones periódicas correspondientes.</w:t>
      </w:r>
      <w:r>
        <w:rPr>
          <w:b/>
          <w:bCs/>
        </w:rPr>
        <w:t>” Si el edificio cuenta con una instalación de gas, aportando la certificación inicial y los informes favorables de las inspecciones a las que ha sido sometida ¿se cumpliría?</w:t>
      </w:r>
    </w:p>
    <w:p w14:paraId="0C4985B2" w14:textId="14946615" w:rsidR="000624FF" w:rsidRDefault="000624FF" w:rsidP="000624FF">
      <w:pPr>
        <w:jc w:val="both"/>
      </w:pPr>
      <w:r w:rsidRPr="000624FF">
        <w:t>Esa instalación de gas es porque tendrán una caldera de gas para la calefacción del centro. Por lo tanto, lo que tienen que aportar es el registro en Industria de la Instalación Térmica (RITE), además de la Instalación de Baja Tensión (BT), que son las instalaciones que se modificarán con la instalación de aerotermia y fotovoltaica.</w:t>
      </w:r>
    </w:p>
    <w:p w14:paraId="5F313E99" w14:textId="77777777" w:rsidR="000853A0" w:rsidRPr="000853A0" w:rsidRDefault="000853A0" w:rsidP="000853A0">
      <w:pPr>
        <w:pStyle w:val="Prrafodelista"/>
        <w:numPr>
          <w:ilvl w:val="0"/>
          <w:numId w:val="3"/>
        </w:numPr>
        <w:jc w:val="both"/>
        <w:rPr>
          <w:b/>
          <w:bCs/>
        </w:rPr>
      </w:pPr>
      <w:r w:rsidRPr="000853A0">
        <w:rPr>
          <w:b/>
          <w:bCs/>
        </w:rPr>
        <w:t xml:space="preserve">En el resuelve octavo de la resolución por la que se convoca la ayuda, se establece que junto con la solicitud deberá presentarse, entre otras, la siguiente documentación: c) Certificados iniciales de los registros en la Consejería competente en materia de Industria, de las instalaciones eléctrica y de climatización. Asimismo, se deberán aportar los informes favorables de las inspecciones periódicas correspondientes. </w:t>
      </w:r>
    </w:p>
    <w:p w14:paraId="446B1146" w14:textId="77777777" w:rsidR="000853A0" w:rsidRPr="000853A0" w:rsidRDefault="000853A0" w:rsidP="000853A0">
      <w:pPr>
        <w:pStyle w:val="Prrafodelista"/>
        <w:jc w:val="both"/>
        <w:rPr>
          <w:b/>
          <w:bCs/>
        </w:rPr>
      </w:pPr>
      <w:r w:rsidRPr="000853A0">
        <w:rPr>
          <w:b/>
          <w:bCs/>
        </w:rPr>
        <w:t>¿Se refiere a los certificados iniciales de la instalación existente con sus correspondientes OCAs?</w:t>
      </w:r>
    </w:p>
    <w:p w14:paraId="59B4D849" w14:textId="77777777" w:rsidR="000853A0" w:rsidRPr="000853A0" w:rsidRDefault="000853A0" w:rsidP="000853A0">
      <w:pPr>
        <w:pStyle w:val="Prrafodelista"/>
        <w:jc w:val="both"/>
        <w:rPr>
          <w:b/>
          <w:bCs/>
        </w:rPr>
      </w:pPr>
    </w:p>
    <w:p w14:paraId="0E0849A4" w14:textId="77777777" w:rsidR="000853A0" w:rsidRPr="000853A0" w:rsidRDefault="000853A0" w:rsidP="000D0C32">
      <w:pPr>
        <w:jc w:val="both"/>
      </w:pPr>
      <w:r w:rsidRPr="000853A0">
        <w:lastRenderedPageBreak/>
        <w:t xml:space="preserve">Los certificados que hay que presentar son los </w:t>
      </w:r>
      <w:r w:rsidRPr="000D0C32">
        <w:rPr>
          <w:u w:val="single"/>
        </w:rPr>
        <w:t>registros de la Delegación de Industria de la Instalación Térmicas de Edificios (RITE) y de la Instalación de Baja Tensión (BT)</w:t>
      </w:r>
      <w:r w:rsidRPr="000853A0">
        <w:t xml:space="preserve"> con sus respectivos </w:t>
      </w:r>
      <w:r w:rsidRPr="000D0C32">
        <w:rPr>
          <w:u w:val="single"/>
        </w:rPr>
        <w:t>certificados favorables de Organismos de Certificación Autorizados (OCAS)</w:t>
      </w:r>
      <w:r w:rsidRPr="000853A0">
        <w:t>, justificando así que dichas instalaciones, que son las que van a ser modificadas con la instalación de los aparatos de refrigeración, están dadas de alta en Industria y que están al día en cuanto a las revisiones obligatorias por normativa RITE y BT.</w:t>
      </w:r>
    </w:p>
    <w:p w14:paraId="146FFDC3" w14:textId="77777777" w:rsidR="000853A0" w:rsidRDefault="000853A0" w:rsidP="000D0C32">
      <w:pPr>
        <w:jc w:val="both"/>
      </w:pPr>
    </w:p>
    <w:p w14:paraId="5857A52A" w14:textId="4D69C63B" w:rsidR="000D0C32" w:rsidRDefault="000D0C32" w:rsidP="00CC225B">
      <w:pPr>
        <w:pStyle w:val="Prrafodelista"/>
        <w:numPr>
          <w:ilvl w:val="0"/>
          <w:numId w:val="3"/>
        </w:numPr>
        <w:jc w:val="both"/>
        <w:rPr>
          <w:b/>
          <w:bCs/>
        </w:rPr>
      </w:pPr>
      <w:r w:rsidRPr="000D0C32">
        <w:rPr>
          <w:b/>
          <w:bCs/>
        </w:rPr>
        <w:t xml:space="preserve">En el punto c de documentación a aportar pone el </w:t>
      </w:r>
      <w:r w:rsidRPr="000D0C32">
        <w:rPr>
          <w:b/>
          <w:bCs/>
        </w:rPr>
        <w:t>Certificado</w:t>
      </w:r>
      <w:r w:rsidRPr="000D0C32">
        <w:rPr>
          <w:b/>
          <w:bCs/>
        </w:rPr>
        <w:t xml:space="preserve"> de registro en la </w:t>
      </w:r>
      <w:r w:rsidRPr="000D0C32">
        <w:rPr>
          <w:b/>
          <w:bCs/>
        </w:rPr>
        <w:t>Consejería,</w:t>
      </w:r>
      <w:r w:rsidRPr="000D0C32">
        <w:rPr>
          <w:b/>
          <w:bCs/>
        </w:rPr>
        <w:t xml:space="preserve"> pero para la solicitud </w:t>
      </w:r>
      <w:r>
        <w:rPr>
          <w:b/>
          <w:bCs/>
        </w:rPr>
        <w:t>¿</w:t>
      </w:r>
      <w:r w:rsidRPr="000D0C32">
        <w:rPr>
          <w:b/>
          <w:bCs/>
        </w:rPr>
        <w:t>es necesario registrarlo en Industria? Entiendo que el registro debe de hacerse una vez se hayan adquiridos los aparatos y no en la fase de solicitud que un no sabemos ni cuales vamos a adquirir</w:t>
      </w:r>
      <w:r w:rsidRPr="000D0C32">
        <w:rPr>
          <w:b/>
          <w:bCs/>
        </w:rPr>
        <w:t xml:space="preserve"> ¿</w:t>
      </w:r>
      <w:r w:rsidRPr="000D0C32">
        <w:rPr>
          <w:b/>
          <w:bCs/>
        </w:rPr>
        <w:t xml:space="preserve">Me podrían aclarar la </w:t>
      </w:r>
      <w:r w:rsidRPr="000D0C32">
        <w:rPr>
          <w:b/>
          <w:bCs/>
        </w:rPr>
        <w:t>duda?</w:t>
      </w:r>
    </w:p>
    <w:p w14:paraId="4D1667DF" w14:textId="57E0A719" w:rsidR="000D0C32" w:rsidRPr="000D0C32" w:rsidRDefault="000D0C32" w:rsidP="000D0C32">
      <w:pPr>
        <w:jc w:val="both"/>
      </w:pPr>
      <w:r w:rsidRPr="000D0C32">
        <w:t>Al instalar los aparatos de refrigeración se está modificando tanto la instalación térmica del edificio como la instalación eléctrica de baja tensión, por lo tanto, es necesario tener previamente registradas en Industria tanto la instalación térmica del edificio en el Registro de Instalaciones Térmicas de Edificaciones (RITE) como la instalación eléctrica en el Registro de Instalaciones Eléctricas de Baja Tensión (REBT).</w:t>
      </w:r>
    </w:p>
    <w:p w14:paraId="61A05CA1" w14:textId="18032E5D" w:rsidR="000D0C32" w:rsidRPr="000D0C32" w:rsidRDefault="000D0C32" w:rsidP="000D0C32">
      <w:pPr>
        <w:jc w:val="both"/>
      </w:pPr>
      <w:r w:rsidRPr="000D0C32">
        <w:t>Una vez instalados los equipos, hay que solicitar a Industria la modificación de ambos Registros para tenerlos actualizados.</w:t>
      </w:r>
    </w:p>
    <w:sectPr w:rsidR="000D0C32" w:rsidRPr="000D0C32" w:rsidSect="00386F09">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FF7E7" w14:textId="77777777" w:rsidR="00CA7592" w:rsidRDefault="00CA7592" w:rsidP="00CA7592">
      <w:pPr>
        <w:spacing w:after="0" w:line="240" w:lineRule="auto"/>
      </w:pPr>
      <w:r>
        <w:separator/>
      </w:r>
    </w:p>
  </w:endnote>
  <w:endnote w:type="continuationSeparator" w:id="0">
    <w:p w14:paraId="1896AB3F" w14:textId="77777777" w:rsidR="00CA7592" w:rsidRDefault="00CA7592" w:rsidP="00CA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5954071"/>
      <w:docPartObj>
        <w:docPartGallery w:val="Page Numbers (Bottom of Page)"/>
        <w:docPartUnique/>
      </w:docPartObj>
    </w:sdtPr>
    <w:sdtEndPr/>
    <w:sdtContent>
      <w:p w14:paraId="51CF8F0B" w14:textId="0622E2F8" w:rsidR="00CA7592" w:rsidRDefault="00CA7592">
        <w:pPr>
          <w:pStyle w:val="Piedepgina"/>
          <w:jc w:val="center"/>
        </w:pPr>
        <w:r>
          <w:fldChar w:fldCharType="begin"/>
        </w:r>
        <w:r>
          <w:instrText>PAGE   \* MERGEFORMAT</w:instrText>
        </w:r>
        <w:r>
          <w:fldChar w:fldCharType="separate"/>
        </w:r>
        <w:r>
          <w:t>2</w:t>
        </w:r>
        <w:r>
          <w:fldChar w:fldCharType="end"/>
        </w:r>
      </w:p>
    </w:sdtContent>
  </w:sdt>
  <w:p w14:paraId="0E2073F7" w14:textId="77777777" w:rsidR="00CA7592" w:rsidRDefault="00CA75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844BD" w14:textId="77777777" w:rsidR="00CA7592" w:rsidRDefault="00CA7592" w:rsidP="00CA7592">
      <w:pPr>
        <w:spacing w:after="0" w:line="240" w:lineRule="auto"/>
      </w:pPr>
      <w:r>
        <w:separator/>
      </w:r>
    </w:p>
  </w:footnote>
  <w:footnote w:type="continuationSeparator" w:id="0">
    <w:p w14:paraId="3E8A538F" w14:textId="77777777" w:rsidR="00CA7592" w:rsidRDefault="00CA7592" w:rsidP="00CA7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268FD"/>
    <w:multiLevelType w:val="hybridMultilevel"/>
    <w:tmpl w:val="331E4F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9F587C"/>
    <w:multiLevelType w:val="hybridMultilevel"/>
    <w:tmpl w:val="331E4F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FBA2977"/>
    <w:multiLevelType w:val="hybridMultilevel"/>
    <w:tmpl w:val="B2505C4E"/>
    <w:lvl w:ilvl="0" w:tplc="6CB2406C">
      <w:numFmt w:val="bullet"/>
      <w:lvlText w:val="-"/>
      <w:lvlJc w:val="left"/>
      <w:pPr>
        <w:ind w:left="1080" w:hanging="360"/>
      </w:pPr>
      <w:rPr>
        <w:rFonts w:ascii="Calibri" w:eastAsia="Aptos"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 w15:restartNumberingAfterBreak="0">
    <w:nsid w:val="70466D15"/>
    <w:multiLevelType w:val="hybridMultilevel"/>
    <w:tmpl w:val="0C4625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786386150">
    <w:abstractNumId w:val="3"/>
  </w:num>
  <w:num w:numId="2" w16cid:durableId="1572689717">
    <w:abstractNumId w:val="2"/>
  </w:num>
  <w:num w:numId="3" w16cid:durableId="1175610992">
    <w:abstractNumId w:val="0"/>
  </w:num>
  <w:num w:numId="4" w16cid:durableId="1332567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09"/>
    <w:rsid w:val="000624FF"/>
    <w:rsid w:val="000853A0"/>
    <w:rsid w:val="000D0C32"/>
    <w:rsid w:val="0025570F"/>
    <w:rsid w:val="00386F09"/>
    <w:rsid w:val="003F4D21"/>
    <w:rsid w:val="00442DAA"/>
    <w:rsid w:val="00490379"/>
    <w:rsid w:val="005E1109"/>
    <w:rsid w:val="006B15D0"/>
    <w:rsid w:val="006F40C2"/>
    <w:rsid w:val="008100F5"/>
    <w:rsid w:val="00917386"/>
    <w:rsid w:val="00A1364C"/>
    <w:rsid w:val="00CA7592"/>
    <w:rsid w:val="00DA24D4"/>
    <w:rsid w:val="00DD5D82"/>
    <w:rsid w:val="00E57FAF"/>
    <w:rsid w:val="00EA016E"/>
    <w:rsid w:val="00F609B4"/>
    <w:rsid w:val="00FA64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5DED"/>
  <w15:chartTrackingRefBased/>
  <w15:docId w15:val="{005C4311-8552-475A-8272-0B6AD5EA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6F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86F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86F0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86F0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86F0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86F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6F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6F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6F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6F0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86F0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86F0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86F0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86F0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86F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6F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6F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6F09"/>
    <w:rPr>
      <w:rFonts w:eastAsiaTheme="majorEastAsia" w:cstheme="majorBidi"/>
      <w:color w:val="272727" w:themeColor="text1" w:themeTint="D8"/>
    </w:rPr>
  </w:style>
  <w:style w:type="paragraph" w:styleId="Ttulo">
    <w:name w:val="Title"/>
    <w:basedOn w:val="Normal"/>
    <w:next w:val="Normal"/>
    <w:link w:val="TtuloCar"/>
    <w:uiPriority w:val="10"/>
    <w:qFormat/>
    <w:rsid w:val="00386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6F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6F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6F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6F09"/>
    <w:pPr>
      <w:spacing w:before="160"/>
      <w:jc w:val="center"/>
    </w:pPr>
    <w:rPr>
      <w:i/>
      <w:iCs/>
      <w:color w:val="404040" w:themeColor="text1" w:themeTint="BF"/>
    </w:rPr>
  </w:style>
  <w:style w:type="character" w:customStyle="1" w:styleId="CitaCar">
    <w:name w:val="Cita Car"/>
    <w:basedOn w:val="Fuentedeprrafopredeter"/>
    <w:link w:val="Cita"/>
    <w:uiPriority w:val="29"/>
    <w:rsid w:val="00386F09"/>
    <w:rPr>
      <w:i/>
      <w:iCs/>
      <w:color w:val="404040" w:themeColor="text1" w:themeTint="BF"/>
    </w:rPr>
  </w:style>
  <w:style w:type="paragraph" w:styleId="Prrafodelista">
    <w:name w:val="List Paragraph"/>
    <w:basedOn w:val="Normal"/>
    <w:uiPriority w:val="34"/>
    <w:qFormat/>
    <w:rsid w:val="00386F09"/>
    <w:pPr>
      <w:ind w:left="720"/>
      <w:contextualSpacing/>
    </w:pPr>
  </w:style>
  <w:style w:type="character" w:styleId="nfasisintenso">
    <w:name w:val="Intense Emphasis"/>
    <w:basedOn w:val="Fuentedeprrafopredeter"/>
    <w:uiPriority w:val="21"/>
    <w:qFormat/>
    <w:rsid w:val="00386F09"/>
    <w:rPr>
      <w:i/>
      <w:iCs/>
      <w:color w:val="2F5496" w:themeColor="accent1" w:themeShade="BF"/>
    </w:rPr>
  </w:style>
  <w:style w:type="paragraph" w:styleId="Citadestacada">
    <w:name w:val="Intense Quote"/>
    <w:basedOn w:val="Normal"/>
    <w:next w:val="Normal"/>
    <w:link w:val="CitadestacadaCar"/>
    <w:uiPriority w:val="30"/>
    <w:qFormat/>
    <w:rsid w:val="00386F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86F09"/>
    <w:rPr>
      <w:i/>
      <w:iCs/>
      <w:color w:val="2F5496" w:themeColor="accent1" w:themeShade="BF"/>
    </w:rPr>
  </w:style>
  <w:style w:type="character" w:styleId="Referenciaintensa">
    <w:name w:val="Intense Reference"/>
    <w:basedOn w:val="Fuentedeprrafopredeter"/>
    <w:uiPriority w:val="32"/>
    <w:qFormat/>
    <w:rsid w:val="00386F09"/>
    <w:rPr>
      <w:b/>
      <w:bCs/>
      <w:smallCaps/>
      <w:color w:val="2F5496" w:themeColor="accent1" w:themeShade="BF"/>
      <w:spacing w:val="5"/>
    </w:rPr>
  </w:style>
  <w:style w:type="paragraph" w:styleId="Encabezado">
    <w:name w:val="header"/>
    <w:basedOn w:val="Normal"/>
    <w:link w:val="EncabezadoCar"/>
    <w:uiPriority w:val="99"/>
    <w:unhideWhenUsed/>
    <w:rsid w:val="00CA75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7592"/>
  </w:style>
  <w:style w:type="paragraph" w:styleId="Piedepgina">
    <w:name w:val="footer"/>
    <w:basedOn w:val="Normal"/>
    <w:link w:val="PiedepginaCar"/>
    <w:uiPriority w:val="99"/>
    <w:unhideWhenUsed/>
    <w:rsid w:val="00CA75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7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37126">
      <w:bodyDiv w:val="1"/>
      <w:marLeft w:val="0"/>
      <w:marRight w:val="0"/>
      <w:marTop w:val="0"/>
      <w:marBottom w:val="0"/>
      <w:divBdr>
        <w:top w:val="none" w:sz="0" w:space="0" w:color="auto"/>
        <w:left w:val="none" w:sz="0" w:space="0" w:color="auto"/>
        <w:bottom w:val="none" w:sz="0" w:space="0" w:color="auto"/>
        <w:right w:val="none" w:sz="0" w:space="0" w:color="auto"/>
      </w:divBdr>
    </w:div>
    <w:div w:id="223027966">
      <w:bodyDiv w:val="1"/>
      <w:marLeft w:val="0"/>
      <w:marRight w:val="0"/>
      <w:marTop w:val="0"/>
      <w:marBottom w:val="0"/>
      <w:divBdr>
        <w:top w:val="none" w:sz="0" w:space="0" w:color="auto"/>
        <w:left w:val="none" w:sz="0" w:space="0" w:color="auto"/>
        <w:bottom w:val="none" w:sz="0" w:space="0" w:color="auto"/>
        <w:right w:val="none" w:sz="0" w:space="0" w:color="auto"/>
      </w:divBdr>
    </w:div>
    <w:div w:id="232930182">
      <w:bodyDiv w:val="1"/>
      <w:marLeft w:val="0"/>
      <w:marRight w:val="0"/>
      <w:marTop w:val="0"/>
      <w:marBottom w:val="0"/>
      <w:divBdr>
        <w:top w:val="none" w:sz="0" w:space="0" w:color="auto"/>
        <w:left w:val="none" w:sz="0" w:space="0" w:color="auto"/>
        <w:bottom w:val="none" w:sz="0" w:space="0" w:color="auto"/>
        <w:right w:val="none" w:sz="0" w:space="0" w:color="auto"/>
      </w:divBdr>
    </w:div>
    <w:div w:id="277761392">
      <w:bodyDiv w:val="1"/>
      <w:marLeft w:val="0"/>
      <w:marRight w:val="0"/>
      <w:marTop w:val="0"/>
      <w:marBottom w:val="0"/>
      <w:divBdr>
        <w:top w:val="none" w:sz="0" w:space="0" w:color="auto"/>
        <w:left w:val="none" w:sz="0" w:space="0" w:color="auto"/>
        <w:bottom w:val="none" w:sz="0" w:space="0" w:color="auto"/>
        <w:right w:val="none" w:sz="0" w:space="0" w:color="auto"/>
      </w:divBdr>
    </w:div>
    <w:div w:id="339627179">
      <w:bodyDiv w:val="1"/>
      <w:marLeft w:val="0"/>
      <w:marRight w:val="0"/>
      <w:marTop w:val="0"/>
      <w:marBottom w:val="0"/>
      <w:divBdr>
        <w:top w:val="none" w:sz="0" w:space="0" w:color="auto"/>
        <w:left w:val="none" w:sz="0" w:space="0" w:color="auto"/>
        <w:bottom w:val="none" w:sz="0" w:space="0" w:color="auto"/>
        <w:right w:val="none" w:sz="0" w:space="0" w:color="auto"/>
      </w:divBdr>
    </w:div>
    <w:div w:id="401411655">
      <w:bodyDiv w:val="1"/>
      <w:marLeft w:val="0"/>
      <w:marRight w:val="0"/>
      <w:marTop w:val="0"/>
      <w:marBottom w:val="0"/>
      <w:divBdr>
        <w:top w:val="none" w:sz="0" w:space="0" w:color="auto"/>
        <w:left w:val="none" w:sz="0" w:space="0" w:color="auto"/>
        <w:bottom w:val="none" w:sz="0" w:space="0" w:color="auto"/>
        <w:right w:val="none" w:sz="0" w:space="0" w:color="auto"/>
      </w:divBdr>
    </w:div>
    <w:div w:id="463618677">
      <w:bodyDiv w:val="1"/>
      <w:marLeft w:val="0"/>
      <w:marRight w:val="0"/>
      <w:marTop w:val="0"/>
      <w:marBottom w:val="0"/>
      <w:divBdr>
        <w:top w:val="none" w:sz="0" w:space="0" w:color="auto"/>
        <w:left w:val="none" w:sz="0" w:space="0" w:color="auto"/>
        <w:bottom w:val="none" w:sz="0" w:space="0" w:color="auto"/>
        <w:right w:val="none" w:sz="0" w:space="0" w:color="auto"/>
      </w:divBdr>
    </w:div>
    <w:div w:id="642199371">
      <w:bodyDiv w:val="1"/>
      <w:marLeft w:val="0"/>
      <w:marRight w:val="0"/>
      <w:marTop w:val="0"/>
      <w:marBottom w:val="0"/>
      <w:divBdr>
        <w:top w:val="none" w:sz="0" w:space="0" w:color="auto"/>
        <w:left w:val="none" w:sz="0" w:space="0" w:color="auto"/>
        <w:bottom w:val="none" w:sz="0" w:space="0" w:color="auto"/>
        <w:right w:val="none" w:sz="0" w:space="0" w:color="auto"/>
      </w:divBdr>
    </w:div>
    <w:div w:id="715198162">
      <w:bodyDiv w:val="1"/>
      <w:marLeft w:val="0"/>
      <w:marRight w:val="0"/>
      <w:marTop w:val="0"/>
      <w:marBottom w:val="0"/>
      <w:divBdr>
        <w:top w:val="none" w:sz="0" w:space="0" w:color="auto"/>
        <w:left w:val="none" w:sz="0" w:space="0" w:color="auto"/>
        <w:bottom w:val="none" w:sz="0" w:space="0" w:color="auto"/>
        <w:right w:val="none" w:sz="0" w:space="0" w:color="auto"/>
      </w:divBdr>
    </w:div>
    <w:div w:id="1041905971">
      <w:bodyDiv w:val="1"/>
      <w:marLeft w:val="0"/>
      <w:marRight w:val="0"/>
      <w:marTop w:val="0"/>
      <w:marBottom w:val="0"/>
      <w:divBdr>
        <w:top w:val="none" w:sz="0" w:space="0" w:color="auto"/>
        <w:left w:val="none" w:sz="0" w:space="0" w:color="auto"/>
        <w:bottom w:val="none" w:sz="0" w:space="0" w:color="auto"/>
        <w:right w:val="none" w:sz="0" w:space="0" w:color="auto"/>
      </w:divBdr>
    </w:div>
    <w:div w:id="1069503786">
      <w:bodyDiv w:val="1"/>
      <w:marLeft w:val="0"/>
      <w:marRight w:val="0"/>
      <w:marTop w:val="0"/>
      <w:marBottom w:val="0"/>
      <w:divBdr>
        <w:top w:val="none" w:sz="0" w:space="0" w:color="auto"/>
        <w:left w:val="none" w:sz="0" w:space="0" w:color="auto"/>
        <w:bottom w:val="none" w:sz="0" w:space="0" w:color="auto"/>
        <w:right w:val="none" w:sz="0" w:space="0" w:color="auto"/>
      </w:divBdr>
    </w:div>
    <w:div w:id="1160347476">
      <w:bodyDiv w:val="1"/>
      <w:marLeft w:val="0"/>
      <w:marRight w:val="0"/>
      <w:marTop w:val="0"/>
      <w:marBottom w:val="0"/>
      <w:divBdr>
        <w:top w:val="none" w:sz="0" w:space="0" w:color="auto"/>
        <w:left w:val="none" w:sz="0" w:space="0" w:color="auto"/>
        <w:bottom w:val="none" w:sz="0" w:space="0" w:color="auto"/>
        <w:right w:val="none" w:sz="0" w:space="0" w:color="auto"/>
      </w:divBdr>
    </w:div>
    <w:div w:id="1163861770">
      <w:bodyDiv w:val="1"/>
      <w:marLeft w:val="0"/>
      <w:marRight w:val="0"/>
      <w:marTop w:val="0"/>
      <w:marBottom w:val="0"/>
      <w:divBdr>
        <w:top w:val="none" w:sz="0" w:space="0" w:color="auto"/>
        <w:left w:val="none" w:sz="0" w:space="0" w:color="auto"/>
        <w:bottom w:val="none" w:sz="0" w:space="0" w:color="auto"/>
        <w:right w:val="none" w:sz="0" w:space="0" w:color="auto"/>
      </w:divBdr>
    </w:div>
    <w:div w:id="1285893461">
      <w:bodyDiv w:val="1"/>
      <w:marLeft w:val="0"/>
      <w:marRight w:val="0"/>
      <w:marTop w:val="0"/>
      <w:marBottom w:val="0"/>
      <w:divBdr>
        <w:top w:val="none" w:sz="0" w:space="0" w:color="auto"/>
        <w:left w:val="none" w:sz="0" w:space="0" w:color="auto"/>
        <w:bottom w:val="none" w:sz="0" w:space="0" w:color="auto"/>
        <w:right w:val="none" w:sz="0" w:space="0" w:color="auto"/>
      </w:divBdr>
    </w:div>
    <w:div w:id="1337414834">
      <w:bodyDiv w:val="1"/>
      <w:marLeft w:val="0"/>
      <w:marRight w:val="0"/>
      <w:marTop w:val="0"/>
      <w:marBottom w:val="0"/>
      <w:divBdr>
        <w:top w:val="none" w:sz="0" w:space="0" w:color="auto"/>
        <w:left w:val="none" w:sz="0" w:space="0" w:color="auto"/>
        <w:bottom w:val="none" w:sz="0" w:space="0" w:color="auto"/>
        <w:right w:val="none" w:sz="0" w:space="0" w:color="auto"/>
      </w:divBdr>
    </w:div>
    <w:div w:id="1405832377">
      <w:bodyDiv w:val="1"/>
      <w:marLeft w:val="0"/>
      <w:marRight w:val="0"/>
      <w:marTop w:val="0"/>
      <w:marBottom w:val="0"/>
      <w:divBdr>
        <w:top w:val="none" w:sz="0" w:space="0" w:color="auto"/>
        <w:left w:val="none" w:sz="0" w:space="0" w:color="auto"/>
        <w:bottom w:val="none" w:sz="0" w:space="0" w:color="auto"/>
        <w:right w:val="none" w:sz="0" w:space="0" w:color="auto"/>
      </w:divBdr>
    </w:div>
    <w:div w:id="1443377313">
      <w:bodyDiv w:val="1"/>
      <w:marLeft w:val="0"/>
      <w:marRight w:val="0"/>
      <w:marTop w:val="0"/>
      <w:marBottom w:val="0"/>
      <w:divBdr>
        <w:top w:val="none" w:sz="0" w:space="0" w:color="auto"/>
        <w:left w:val="none" w:sz="0" w:space="0" w:color="auto"/>
        <w:bottom w:val="none" w:sz="0" w:space="0" w:color="auto"/>
        <w:right w:val="none" w:sz="0" w:space="0" w:color="auto"/>
      </w:divBdr>
    </w:div>
    <w:div w:id="1591622508">
      <w:bodyDiv w:val="1"/>
      <w:marLeft w:val="0"/>
      <w:marRight w:val="0"/>
      <w:marTop w:val="0"/>
      <w:marBottom w:val="0"/>
      <w:divBdr>
        <w:top w:val="none" w:sz="0" w:space="0" w:color="auto"/>
        <w:left w:val="none" w:sz="0" w:space="0" w:color="auto"/>
        <w:bottom w:val="none" w:sz="0" w:space="0" w:color="auto"/>
        <w:right w:val="none" w:sz="0" w:space="0" w:color="auto"/>
      </w:divBdr>
    </w:div>
    <w:div w:id="1952739673">
      <w:bodyDiv w:val="1"/>
      <w:marLeft w:val="0"/>
      <w:marRight w:val="0"/>
      <w:marTop w:val="0"/>
      <w:marBottom w:val="0"/>
      <w:divBdr>
        <w:top w:val="none" w:sz="0" w:space="0" w:color="auto"/>
        <w:left w:val="none" w:sz="0" w:space="0" w:color="auto"/>
        <w:bottom w:val="none" w:sz="0" w:space="0" w:color="auto"/>
        <w:right w:val="none" w:sz="0" w:space="0" w:color="auto"/>
      </w:divBdr>
    </w:div>
    <w:div w:id="2113281062">
      <w:bodyDiv w:val="1"/>
      <w:marLeft w:val="0"/>
      <w:marRight w:val="0"/>
      <w:marTop w:val="0"/>
      <w:marBottom w:val="0"/>
      <w:divBdr>
        <w:top w:val="none" w:sz="0" w:space="0" w:color="auto"/>
        <w:left w:val="none" w:sz="0" w:space="0" w:color="auto"/>
        <w:bottom w:val="none" w:sz="0" w:space="0" w:color="auto"/>
        <w:right w:val="none" w:sz="0" w:space="0" w:color="auto"/>
      </w:divBdr>
    </w:div>
    <w:div w:id="212692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1753</Words>
  <Characters>9644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José Gutiérrez Rodriguez</dc:creator>
  <cp:keywords/>
  <dc:description/>
  <cp:lastModifiedBy>Maria José Gutiérrez Rodriguez</cp:lastModifiedBy>
  <cp:revision>13</cp:revision>
  <dcterms:created xsi:type="dcterms:W3CDTF">2024-10-24T11:30:00Z</dcterms:created>
  <dcterms:modified xsi:type="dcterms:W3CDTF">2024-11-07T08:18:00Z</dcterms:modified>
</cp:coreProperties>
</file>